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D841E" w14:textId="77777777" w:rsidR="002C36FC" w:rsidRDefault="001B7AC7" w:rsidP="001B7AC7">
      <w:pPr>
        <w:jc w:val="center"/>
        <w:rPr>
          <w:b/>
          <w:szCs w:val="24"/>
          <w:lang w:eastAsia="de-DE"/>
        </w:rPr>
      </w:pPr>
      <w:r w:rsidRPr="00B93821">
        <w:rPr>
          <w:b/>
          <w:szCs w:val="24"/>
          <w:lang w:eastAsia="de-DE"/>
        </w:rPr>
        <w:t xml:space="preserve">Bebauungsplan </w:t>
      </w:r>
    </w:p>
    <w:p w14:paraId="32FECD54" w14:textId="13B77963" w:rsidR="001B7AC7" w:rsidRPr="00B93821" w:rsidRDefault="002C36FC" w:rsidP="001B7AC7">
      <w:pPr>
        <w:jc w:val="center"/>
        <w:rPr>
          <w:b/>
          <w:szCs w:val="24"/>
          <w:lang w:eastAsia="de-DE"/>
        </w:rPr>
      </w:pPr>
      <w:r w:rsidRPr="002C36FC">
        <w:rPr>
          <w:b/>
          <w:sz w:val="28"/>
          <w:szCs w:val="28"/>
          <w:lang w:eastAsia="de-DE"/>
        </w:rPr>
        <w:t>„</w:t>
      </w:r>
      <w:r w:rsidR="0074416D">
        <w:rPr>
          <w:b/>
          <w:sz w:val="28"/>
          <w:szCs w:val="28"/>
          <w:lang w:eastAsia="de-DE"/>
        </w:rPr>
        <w:t>Schleifrain</w:t>
      </w:r>
      <w:r w:rsidRPr="002C36FC">
        <w:rPr>
          <w:b/>
          <w:sz w:val="28"/>
          <w:szCs w:val="28"/>
          <w:lang w:eastAsia="de-DE"/>
        </w:rPr>
        <w:t xml:space="preserve"> – 2. Änderung“</w:t>
      </w:r>
    </w:p>
    <w:p w14:paraId="551251B6" w14:textId="77777777" w:rsidR="000273E4" w:rsidRDefault="000273E4" w:rsidP="001B7AC7">
      <w:pPr>
        <w:jc w:val="center"/>
        <w:rPr>
          <w:b/>
          <w:szCs w:val="20"/>
          <w:lang w:eastAsia="de-DE"/>
        </w:rPr>
      </w:pPr>
    </w:p>
    <w:p w14:paraId="3AD5998B" w14:textId="77777777" w:rsidR="001B7AC7" w:rsidRPr="00F211E6" w:rsidRDefault="001B7AC7" w:rsidP="001B7AC7">
      <w:pPr>
        <w:jc w:val="center"/>
        <w:rPr>
          <w:b/>
          <w:szCs w:val="24"/>
          <w:lang w:eastAsia="de-DE"/>
        </w:rPr>
      </w:pPr>
      <w:r w:rsidRPr="00F211E6">
        <w:rPr>
          <w:b/>
          <w:szCs w:val="24"/>
          <w:lang w:eastAsia="de-DE"/>
        </w:rPr>
        <w:t xml:space="preserve">Bekanntmachung des Satzungsbeschlusses </w:t>
      </w:r>
    </w:p>
    <w:p w14:paraId="2F704EF3" w14:textId="4A3E5DBE" w:rsidR="001B7AC7" w:rsidRDefault="001B7AC7" w:rsidP="001B7AC7">
      <w:pPr>
        <w:jc w:val="center"/>
        <w:rPr>
          <w:b/>
          <w:szCs w:val="24"/>
          <w:lang w:eastAsia="de-DE"/>
        </w:rPr>
      </w:pPr>
      <w:r w:rsidRPr="00F211E6">
        <w:rPr>
          <w:b/>
          <w:szCs w:val="24"/>
          <w:lang w:eastAsia="de-DE"/>
        </w:rPr>
        <w:t xml:space="preserve">- Inkraftsetzung </w:t>
      </w:r>
      <w:r w:rsidR="00F46653">
        <w:rPr>
          <w:b/>
          <w:szCs w:val="24"/>
          <w:lang w:eastAsia="de-DE"/>
        </w:rPr>
        <w:t>–</w:t>
      </w:r>
      <w:r w:rsidRPr="00F211E6">
        <w:rPr>
          <w:b/>
          <w:szCs w:val="24"/>
          <w:lang w:eastAsia="de-DE"/>
        </w:rPr>
        <w:t xml:space="preserve"> </w:t>
      </w:r>
    </w:p>
    <w:p w14:paraId="2C29EBB2" w14:textId="77777777" w:rsidR="00F46653" w:rsidRPr="00F211E6" w:rsidRDefault="00F46653" w:rsidP="001B7AC7">
      <w:pPr>
        <w:jc w:val="center"/>
        <w:rPr>
          <w:b/>
          <w:szCs w:val="24"/>
          <w:lang w:eastAsia="de-DE"/>
        </w:rPr>
      </w:pPr>
    </w:p>
    <w:p w14:paraId="029197DF" w14:textId="3A4380E6" w:rsidR="001B7AC7" w:rsidRDefault="001B7AC7" w:rsidP="001B7AC7">
      <w:pPr>
        <w:rPr>
          <w:szCs w:val="24"/>
          <w:lang w:eastAsia="de-DE"/>
        </w:rPr>
      </w:pPr>
    </w:p>
    <w:p w14:paraId="4AB4B7EB" w14:textId="77777777" w:rsidR="00F83C2C" w:rsidRPr="00F211E6" w:rsidRDefault="00F83C2C" w:rsidP="001B7AC7">
      <w:pPr>
        <w:rPr>
          <w:szCs w:val="24"/>
          <w:lang w:eastAsia="de-DE"/>
        </w:rPr>
      </w:pPr>
    </w:p>
    <w:p w14:paraId="267C0674" w14:textId="77777777" w:rsidR="001B7AC7" w:rsidRPr="00F211E6" w:rsidRDefault="001B7AC7" w:rsidP="001B7AC7">
      <w:pPr>
        <w:rPr>
          <w:szCs w:val="24"/>
          <w:lang w:eastAsia="de-DE"/>
        </w:rPr>
      </w:pPr>
    </w:p>
    <w:p w14:paraId="7F104BB5" w14:textId="65A86A79" w:rsidR="00B93821" w:rsidRPr="00F211E6" w:rsidRDefault="001B7AC7" w:rsidP="004C60E7">
      <w:pPr>
        <w:jc w:val="both"/>
        <w:rPr>
          <w:rFonts w:eastAsia="Times New Roman"/>
          <w:szCs w:val="24"/>
          <w:lang w:eastAsia="de-DE"/>
        </w:rPr>
      </w:pPr>
      <w:r w:rsidRPr="00F211E6">
        <w:rPr>
          <w:rFonts w:eastAsia="Times New Roman"/>
          <w:szCs w:val="24"/>
          <w:lang w:eastAsia="de-DE"/>
        </w:rPr>
        <w:t>Der Gemeinderat der Stadt Steinheim</w:t>
      </w:r>
      <w:r w:rsidR="00B93821" w:rsidRPr="00F211E6">
        <w:rPr>
          <w:rFonts w:eastAsia="Times New Roman"/>
          <w:szCs w:val="24"/>
          <w:lang w:eastAsia="de-DE"/>
        </w:rPr>
        <w:t xml:space="preserve"> a.d.Murr</w:t>
      </w:r>
      <w:r w:rsidRPr="00F211E6">
        <w:rPr>
          <w:rFonts w:eastAsia="Times New Roman"/>
          <w:szCs w:val="24"/>
          <w:lang w:eastAsia="de-DE"/>
        </w:rPr>
        <w:t xml:space="preserve"> hat </w:t>
      </w:r>
      <w:r w:rsidR="002747F2" w:rsidRPr="00F211E6">
        <w:rPr>
          <w:rFonts w:eastAsia="Times New Roman"/>
          <w:szCs w:val="24"/>
          <w:lang w:eastAsia="de-DE"/>
        </w:rPr>
        <w:t xml:space="preserve">in öffentlicher Sitzung </w:t>
      </w:r>
      <w:r w:rsidRPr="00F211E6">
        <w:rPr>
          <w:rFonts w:eastAsia="Times New Roman"/>
          <w:szCs w:val="24"/>
          <w:lang w:eastAsia="de-DE"/>
        </w:rPr>
        <w:t xml:space="preserve">am </w:t>
      </w:r>
      <w:r w:rsidR="002C36FC" w:rsidRPr="00F211E6">
        <w:rPr>
          <w:rFonts w:eastAsia="Times New Roman"/>
          <w:szCs w:val="24"/>
          <w:lang w:eastAsia="de-DE"/>
        </w:rPr>
        <w:t>13.04.2021</w:t>
      </w:r>
      <w:r w:rsidRPr="00F211E6">
        <w:rPr>
          <w:rFonts w:eastAsia="Times New Roman"/>
          <w:szCs w:val="24"/>
          <w:lang w:eastAsia="de-DE"/>
        </w:rPr>
        <w:t xml:space="preserve"> den</w:t>
      </w:r>
      <w:r w:rsidR="000273E4" w:rsidRPr="00F211E6">
        <w:rPr>
          <w:rFonts w:eastAsia="Times New Roman"/>
          <w:szCs w:val="24"/>
          <w:lang w:eastAsia="de-DE"/>
        </w:rPr>
        <w:t xml:space="preserve"> nach § 13</w:t>
      </w:r>
      <w:r w:rsidR="002C36FC" w:rsidRPr="00F211E6">
        <w:rPr>
          <w:rFonts w:eastAsia="Times New Roman"/>
          <w:szCs w:val="24"/>
          <w:lang w:eastAsia="de-DE"/>
        </w:rPr>
        <w:t>a</w:t>
      </w:r>
      <w:r w:rsidR="000273E4" w:rsidRPr="00F211E6">
        <w:rPr>
          <w:rFonts w:eastAsia="Times New Roman"/>
          <w:szCs w:val="24"/>
          <w:lang w:eastAsia="de-DE"/>
        </w:rPr>
        <w:t xml:space="preserve"> Bau</w:t>
      </w:r>
      <w:r w:rsidR="0055677D" w:rsidRPr="00F211E6">
        <w:rPr>
          <w:rFonts w:eastAsia="Times New Roman"/>
          <w:szCs w:val="24"/>
          <w:lang w:eastAsia="de-DE"/>
        </w:rPr>
        <w:t>gesetzbuch (BauGB)</w:t>
      </w:r>
      <w:r w:rsidR="000273E4" w:rsidRPr="00F211E6">
        <w:rPr>
          <w:rFonts w:eastAsia="Times New Roman"/>
          <w:szCs w:val="24"/>
          <w:lang w:eastAsia="de-DE"/>
        </w:rPr>
        <w:t xml:space="preserve"> aufgestellten</w:t>
      </w:r>
      <w:r w:rsidR="002747F2" w:rsidRPr="00F211E6">
        <w:rPr>
          <w:rFonts w:eastAsia="Times New Roman"/>
          <w:szCs w:val="24"/>
          <w:lang w:eastAsia="de-DE"/>
        </w:rPr>
        <w:t xml:space="preserve"> </w:t>
      </w:r>
      <w:r w:rsidRPr="00F211E6">
        <w:rPr>
          <w:rFonts w:eastAsia="Times New Roman"/>
          <w:szCs w:val="24"/>
          <w:lang w:eastAsia="de-DE"/>
        </w:rPr>
        <w:t>Bebauungsplan</w:t>
      </w:r>
      <w:r w:rsidR="0055677D" w:rsidRPr="00F211E6">
        <w:rPr>
          <w:rFonts w:eastAsia="Times New Roman"/>
          <w:szCs w:val="24"/>
          <w:lang w:eastAsia="de-DE"/>
        </w:rPr>
        <w:t xml:space="preserve"> der Innenentwicklung</w:t>
      </w:r>
      <w:r w:rsidRPr="00F211E6">
        <w:rPr>
          <w:rFonts w:eastAsia="Times New Roman"/>
          <w:szCs w:val="24"/>
          <w:lang w:eastAsia="de-DE"/>
        </w:rPr>
        <w:t xml:space="preserve"> "</w:t>
      </w:r>
      <w:r w:rsidR="0076224F">
        <w:rPr>
          <w:rFonts w:eastAsia="Times New Roman"/>
          <w:b/>
          <w:bCs/>
          <w:szCs w:val="24"/>
          <w:lang w:eastAsia="de-DE"/>
        </w:rPr>
        <w:t>Sch</w:t>
      </w:r>
      <w:r w:rsidR="002C36FC" w:rsidRPr="00F211E6">
        <w:rPr>
          <w:rFonts w:eastAsia="Times New Roman"/>
          <w:b/>
          <w:bCs/>
          <w:szCs w:val="24"/>
          <w:lang w:eastAsia="de-DE"/>
        </w:rPr>
        <w:t>I</w:t>
      </w:r>
      <w:r w:rsidR="0076224F">
        <w:rPr>
          <w:rFonts w:eastAsia="Times New Roman"/>
          <w:b/>
          <w:bCs/>
          <w:szCs w:val="24"/>
          <w:lang w:eastAsia="de-DE"/>
        </w:rPr>
        <w:t>eifrain</w:t>
      </w:r>
      <w:r w:rsidR="002C36FC" w:rsidRPr="00F211E6">
        <w:rPr>
          <w:rFonts w:eastAsia="Times New Roman"/>
          <w:b/>
          <w:bCs/>
          <w:szCs w:val="24"/>
          <w:lang w:eastAsia="de-DE"/>
        </w:rPr>
        <w:t xml:space="preserve"> – 2. Änderung</w:t>
      </w:r>
      <w:r w:rsidRPr="00F211E6">
        <w:rPr>
          <w:rFonts w:eastAsia="Times New Roman"/>
          <w:szCs w:val="24"/>
          <w:lang w:eastAsia="de-DE"/>
        </w:rPr>
        <w:t>" sowie die örtlichen Bauvorschriften für das Gebiet des Bebauungsplans gem. § 10 (1) BauGB</w:t>
      </w:r>
      <w:r w:rsidR="004701B1" w:rsidRPr="00F211E6">
        <w:rPr>
          <w:rFonts w:eastAsia="Times New Roman"/>
          <w:szCs w:val="24"/>
          <w:lang w:eastAsia="de-DE"/>
        </w:rPr>
        <w:t xml:space="preserve"> und § 74 Landesbauordnung (LBO)</w:t>
      </w:r>
      <w:r w:rsidR="00756BC2" w:rsidRPr="00F211E6">
        <w:rPr>
          <w:rFonts w:eastAsia="Times New Roman"/>
          <w:szCs w:val="24"/>
          <w:lang w:eastAsia="de-DE"/>
        </w:rPr>
        <w:t xml:space="preserve"> sowie § 4 Gemeindeordnu</w:t>
      </w:r>
      <w:r w:rsidR="00843C1A" w:rsidRPr="00F211E6">
        <w:rPr>
          <w:rFonts w:eastAsia="Times New Roman"/>
          <w:szCs w:val="24"/>
          <w:lang w:eastAsia="de-DE"/>
        </w:rPr>
        <w:t>n</w:t>
      </w:r>
      <w:r w:rsidR="00756BC2" w:rsidRPr="00F211E6">
        <w:rPr>
          <w:rFonts w:eastAsia="Times New Roman"/>
          <w:szCs w:val="24"/>
          <w:lang w:eastAsia="de-DE"/>
        </w:rPr>
        <w:t>g</w:t>
      </w:r>
      <w:r w:rsidR="00843C1A" w:rsidRPr="00F211E6">
        <w:rPr>
          <w:rFonts w:eastAsia="Times New Roman"/>
          <w:szCs w:val="24"/>
          <w:lang w:eastAsia="de-DE"/>
        </w:rPr>
        <w:t xml:space="preserve"> Baden-Württemberg (GemO)</w:t>
      </w:r>
      <w:r w:rsidRPr="00F211E6">
        <w:rPr>
          <w:rFonts w:eastAsia="Times New Roman"/>
          <w:szCs w:val="24"/>
          <w:lang w:eastAsia="de-DE"/>
        </w:rPr>
        <w:t xml:space="preserve"> als </w:t>
      </w:r>
      <w:r w:rsidRPr="00F211E6">
        <w:rPr>
          <w:rFonts w:eastAsia="Times New Roman"/>
          <w:b/>
          <w:bCs/>
          <w:szCs w:val="24"/>
          <w:lang w:eastAsia="de-DE"/>
        </w:rPr>
        <w:t>Satzung</w:t>
      </w:r>
      <w:r w:rsidRPr="00F211E6">
        <w:rPr>
          <w:rFonts w:eastAsia="Times New Roman"/>
          <w:szCs w:val="24"/>
          <w:lang w:eastAsia="de-DE"/>
        </w:rPr>
        <w:t xml:space="preserve"> beschlossen. </w:t>
      </w: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52"/>
      </w:tblGrid>
      <w:tr w:rsidR="00F211E6" w14:paraId="20F85F79" w14:textId="77777777" w:rsidTr="00965448">
        <w:trPr>
          <w:trHeight w:val="4175"/>
        </w:trPr>
        <w:tc>
          <w:tcPr>
            <w:tcW w:w="5495" w:type="dxa"/>
          </w:tcPr>
          <w:p w14:paraId="0AF86E8E" w14:textId="77777777" w:rsidR="00965448" w:rsidRDefault="00965448" w:rsidP="00965448">
            <w:pPr>
              <w:rPr>
                <w:rFonts w:cs="Arial"/>
                <w:color w:val="0A0A0A"/>
                <w:szCs w:val="24"/>
              </w:rPr>
            </w:pPr>
          </w:p>
          <w:p w14:paraId="1003BB5C" w14:textId="39D712C9" w:rsidR="00965448" w:rsidRPr="00965448" w:rsidRDefault="00F211E6" w:rsidP="004C60E7">
            <w:pPr>
              <w:jc w:val="both"/>
              <w:rPr>
                <w:rFonts w:eastAsia="Times New Roman"/>
                <w:szCs w:val="24"/>
                <w:lang w:eastAsia="de-DE"/>
              </w:rPr>
            </w:pPr>
            <w:r w:rsidRPr="00F211E6">
              <w:rPr>
                <w:rFonts w:cs="Arial"/>
                <w:color w:val="0A0A0A"/>
                <w:szCs w:val="24"/>
              </w:rPr>
              <w:t>Der Bebauungsplan „</w:t>
            </w:r>
            <w:r w:rsidR="0076224F">
              <w:rPr>
                <w:rFonts w:cs="Arial"/>
                <w:color w:val="0A0A0A"/>
                <w:szCs w:val="24"/>
              </w:rPr>
              <w:t>Schleifrain</w:t>
            </w:r>
            <w:r w:rsidRPr="00F211E6">
              <w:rPr>
                <w:rFonts w:cs="Arial"/>
                <w:color w:val="0A0A0A"/>
                <w:szCs w:val="24"/>
              </w:rPr>
              <w:t xml:space="preserve"> – 2. Änderung“ besteht aus dem Textteil und der Begründung des Büros FPZ Zeese Stadtplanung + Architektur, Stuttgart vom 13.04.2021 für die Teilflächen </w:t>
            </w:r>
            <w:r w:rsidR="00965448" w:rsidRPr="00965448">
              <w:rPr>
                <w:rFonts w:eastAsia="Times New Roman"/>
                <w:szCs w:val="24"/>
                <w:lang w:eastAsia="de-DE"/>
              </w:rPr>
              <w:t>Flst.Nr. 158/1, 158/2, 159 sowie 159/1, 159/3 und 157 im Bereich Schleifrain 6-10 in Steinheim.</w:t>
            </w:r>
          </w:p>
          <w:p w14:paraId="6E56C860" w14:textId="1D095334" w:rsidR="00F211E6" w:rsidRPr="00F211E6" w:rsidRDefault="00F211E6" w:rsidP="004C60E7">
            <w:pPr>
              <w:jc w:val="both"/>
              <w:rPr>
                <w:rFonts w:cs="Arial"/>
                <w:color w:val="0A0A0A"/>
                <w:szCs w:val="24"/>
              </w:rPr>
            </w:pPr>
            <w:r w:rsidRPr="00F211E6">
              <w:rPr>
                <w:rFonts w:cs="Arial"/>
                <w:color w:val="0A0A0A"/>
                <w:szCs w:val="24"/>
              </w:rPr>
              <w:t xml:space="preserve">Der räumliche Geltungsbereich ergibt sich aus dem </w:t>
            </w:r>
            <w:r w:rsidR="00965448">
              <w:rPr>
                <w:rFonts w:cs="Arial"/>
                <w:color w:val="0A0A0A"/>
                <w:szCs w:val="24"/>
              </w:rPr>
              <w:t>nebenstehenden</w:t>
            </w:r>
            <w:r w:rsidRPr="00F211E6">
              <w:rPr>
                <w:rFonts w:cs="Arial"/>
                <w:color w:val="0A0A0A"/>
                <w:szCs w:val="24"/>
              </w:rPr>
              <w:t xml:space="preserve"> Planausschnitt.  </w:t>
            </w:r>
          </w:p>
          <w:p w14:paraId="3B7687AF" w14:textId="77777777" w:rsidR="00F211E6" w:rsidRDefault="00F211E6" w:rsidP="004C60E7">
            <w:pPr>
              <w:jc w:val="both"/>
              <w:rPr>
                <w:rFonts w:eastAsia="Times New Roman"/>
                <w:szCs w:val="24"/>
                <w:lang w:eastAsia="de-DE"/>
              </w:rPr>
            </w:pPr>
          </w:p>
          <w:p w14:paraId="671B2981" w14:textId="50CA0E7E" w:rsidR="00F211E6" w:rsidRDefault="00F211E6" w:rsidP="004C60E7">
            <w:pPr>
              <w:jc w:val="both"/>
              <w:rPr>
                <w:rFonts w:eastAsia="Times New Roman"/>
                <w:b/>
                <w:szCs w:val="24"/>
                <w:lang w:eastAsia="de-DE"/>
              </w:rPr>
            </w:pPr>
            <w:r w:rsidRPr="00F211E6">
              <w:rPr>
                <w:rFonts w:eastAsia="Times New Roman"/>
                <w:szCs w:val="24"/>
                <w:lang w:eastAsia="de-DE"/>
              </w:rPr>
              <w:t xml:space="preserve">Gemäß  § 10 Abs. 3 BauGB wird der Beschluss des Bebauungsplans hiermit bekannt gemacht. </w:t>
            </w:r>
            <w:r w:rsidRPr="00F211E6">
              <w:rPr>
                <w:rFonts w:eastAsia="Times New Roman"/>
                <w:b/>
                <w:szCs w:val="24"/>
                <w:lang w:eastAsia="de-DE"/>
              </w:rPr>
              <w:t>Mit dieser Bekanntmachung treten der Bebauungsplan sowie die Satzung über</w:t>
            </w:r>
            <w:r w:rsidR="00806B4D">
              <w:rPr>
                <w:rFonts w:eastAsia="Times New Roman"/>
                <w:b/>
                <w:szCs w:val="24"/>
                <w:lang w:eastAsia="de-DE"/>
              </w:rPr>
              <w:t xml:space="preserve"> die</w:t>
            </w:r>
            <w:r w:rsidRPr="00F211E6">
              <w:rPr>
                <w:rFonts w:eastAsia="Times New Roman"/>
                <w:b/>
                <w:szCs w:val="24"/>
                <w:lang w:eastAsia="de-DE"/>
              </w:rPr>
              <w:t xml:space="preserve"> örtlichen Bauvorschriften in Kraft. </w:t>
            </w:r>
          </w:p>
          <w:p w14:paraId="6EA03252" w14:textId="076C76ED" w:rsidR="00965448" w:rsidRDefault="00965448" w:rsidP="00965448">
            <w:pPr>
              <w:jc w:val="both"/>
              <w:rPr>
                <w:rFonts w:cs="Arial"/>
                <w:color w:val="0A0A0A"/>
                <w:szCs w:val="24"/>
              </w:rPr>
            </w:pPr>
          </w:p>
        </w:tc>
        <w:tc>
          <w:tcPr>
            <w:tcW w:w="4252" w:type="dxa"/>
          </w:tcPr>
          <w:p w14:paraId="12B76708" w14:textId="0A7BA33C" w:rsidR="00F211E6" w:rsidRDefault="00F211E6" w:rsidP="00F46653">
            <w:pPr>
              <w:jc w:val="both"/>
              <w:rPr>
                <w:rFonts w:cs="Arial"/>
                <w:color w:val="0A0A0A"/>
                <w:szCs w:val="24"/>
              </w:rPr>
            </w:pPr>
            <w:r>
              <w:rPr>
                <w:rFonts w:cs="Arial"/>
                <w:color w:val="0A0A0A"/>
                <w:szCs w:val="24"/>
              </w:rPr>
              <w:t xml:space="preserve">        </w:t>
            </w:r>
            <w:r w:rsidR="00965448">
              <w:rPr>
                <w:rFonts w:cs="Arial"/>
                <w:noProof/>
                <w:szCs w:val="24"/>
              </w:rPr>
              <w:t xml:space="preserve">     </w:t>
            </w:r>
            <w:r w:rsidR="00965448" w:rsidRPr="00134CD5">
              <w:rPr>
                <w:rFonts w:cs="Arial"/>
                <w:noProof/>
                <w:szCs w:val="24"/>
              </w:rPr>
              <w:drawing>
                <wp:inline distT="0" distB="0" distL="0" distR="0" wp14:anchorId="42F08319" wp14:editId="1FE23312">
                  <wp:extent cx="2375086" cy="22098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7849" cy="2221675"/>
                          </a:xfrm>
                          <a:prstGeom prst="rect">
                            <a:avLst/>
                          </a:prstGeom>
                          <a:noFill/>
                          <a:ln>
                            <a:noFill/>
                          </a:ln>
                        </pic:spPr>
                      </pic:pic>
                    </a:graphicData>
                  </a:graphic>
                </wp:inline>
              </w:drawing>
            </w:r>
          </w:p>
        </w:tc>
      </w:tr>
    </w:tbl>
    <w:p w14:paraId="07D4AD62" w14:textId="201B8BB4" w:rsidR="00591077" w:rsidRPr="00F211E6" w:rsidRDefault="00965448" w:rsidP="004C60E7">
      <w:pPr>
        <w:jc w:val="both"/>
        <w:rPr>
          <w:rFonts w:eastAsia="Times New Roman"/>
          <w:szCs w:val="24"/>
          <w:lang w:eastAsia="de-DE"/>
        </w:rPr>
      </w:pPr>
      <w:r w:rsidRPr="00F211E6">
        <w:rPr>
          <w:rFonts w:eastAsia="Times New Roman"/>
          <w:szCs w:val="24"/>
          <w:lang w:eastAsia="de-DE"/>
        </w:rPr>
        <w:t>Die vorgenannten Unterlagen können beim Stadtbauamt der Stadt Steinheim a.d.Murr,</w:t>
      </w:r>
      <w:r w:rsidR="004C60E7">
        <w:rPr>
          <w:rFonts w:eastAsia="Times New Roman"/>
          <w:szCs w:val="24"/>
          <w:lang w:eastAsia="de-DE"/>
        </w:rPr>
        <w:t xml:space="preserve"> </w:t>
      </w:r>
      <w:r w:rsidR="000273E4" w:rsidRPr="00F211E6">
        <w:rPr>
          <w:rFonts w:eastAsia="Times New Roman"/>
          <w:szCs w:val="24"/>
          <w:lang w:eastAsia="de-DE"/>
        </w:rPr>
        <w:t xml:space="preserve">Steinheimer Straße 15 in 71711 Steinheim a.d.Murr </w:t>
      </w:r>
      <w:r w:rsidR="0055677D" w:rsidRPr="00F211E6">
        <w:rPr>
          <w:rFonts w:eastAsia="Times New Roman"/>
          <w:szCs w:val="24"/>
          <w:lang w:eastAsia="de-DE"/>
        </w:rPr>
        <w:t xml:space="preserve"> </w:t>
      </w:r>
      <w:r w:rsidR="000273E4" w:rsidRPr="00F211E6">
        <w:rPr>
          <w:rFonts w:eastAsia="Times New Roman"/>
          <w:szCs w:val="24"/>
          <w:lang w:eastAsia="de-DE"/>
        </w:rPr>
        <w:t xml:space="preserve">während der üblichen Dienststunden eingesehen werden. Jedermann kann die vorgenannten Unterlagen einsehen und über deren Inhalt Auskunft verlangen. </w:t>
      </w:r>
    </w:p>
    <w:tbl>
      <w:tblPr>
        <w:tblStyle w:val="Tabellen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0"/>
        <w:gridCol w:w="2106"/>
      </w:tblGrid>
      <w:tr w:rsidR="00591077" w:rsidRPr="00F211E6" w14:paraId="536BD839" w14:textId="77777777" w:rsidTr="00F46653">
        <w:trPr>
          <w:trHeight w:val="2202"/>
        </w:trPr>
        <w:tc>
          <w:tcPr>
            <w:tcW w:w="7500" w:type="dxa"/>
          </w:tcPr>
          <w:p w14:paraId="204274C8" w14:textId="77777777" w:rsidR="00F96F65" w:rsidRPr="00F211E6" w:rsidRDefault="00F96F65" w:rsidP="00F46653">
            <w:pPr>
              <w:jc w:val="both"/>
              <w:rPr>
                <w:rFonts w:eastAsia="Times New Roman"/>
                <w:szCs w:val="24"/>
                <w:lang w:eastAsia="de-DE"/>
              </w:rPr>
            </w:pPr>
          </w:p>
          <w:p w14:paraId="2B4AA538" w14:textId="77777777" w:rsidR="00F46653" w:rsidRDefault="00F96F65" w:rsidP="004C60E7">
            <w:pPr>
              <w:jc w:val="both"/>
              <w:rPr>
                <w:rFonts w:eastAsia="Times New Roman"/>
                <w:szCs w:val="24"/>
                <w:lang w:eastAsia="de-DE"/>
              </w:rPr>
            </w:pPr>
            <w:r w:rsidRPr="00F211E6">
              <w:rPr>
                <w:rFonts w:eastAsia="Times New Roman"/>
                <w:szCs w:val="24"/>
                <w:lang w:eastAsia="de-DE"/>
              </w:rPr>
              <w:t xml:space="preserve">Des Weiteren sind die Unterlagen auf der Internetseite der Stadt Steinheim a.d.Murr, </w:t>
            </w:r>
            <w:hyperlink r:id="rId8" w:history="1">
              <w:r w:rsidRPr="00F211E6">
                <w:rPr>
                  <w:rStyle w:val="Hyperlink"/>
                  <w:rFonts w:eastAsia="Times New Roman"/>
                  <w:szCs w:val="24"/>
                  <w:lang w:eastAsia="de-DE"/>
                </w:rPr>
                <w:t>www.stadt-steinheim.de</w:t>
              </w:r>
            </w:hyperlink>
            <w:r w:rsidRPr="00F211E6">
              <w:rPr>
                <w:rFonts w:eastAsia="Times New Roman"/>
                <w:szCs w:val="24"/>
                <w:lang w:eastAsia="de-DE"/>
              </w:rPr>
              <w:t xml:space="preserve"> unter Bauen,Gewerbe</w:t>
            </w:r>
          </w:p>
          <w:p w14:paraId="3086E005" w14:textId="0FD2F696" w:rsidR="00F96F65" w:rsidRPr="00F211E6" w:rsidRDefault="00F96F65" w:rsidP="004C60E7">
            <w:pPr>
              <w:jc w:val="both"/>
              <w:rPr>
                <w:rFonts w:eastAsia="Times New Roman"/>
                <w:szCs w:val="24"/>
                <w:lang w:eastAsia="de-DE"/>
              </w:rPr>
            </w:pPr>
            <w:r w:rsidRPr="00F211E6">
              <w:rPr>
                <w:rFonts w:eastAsia="Times New Roman"/>
                <w:szCs w:val="24"/>
                <w:lang w:eastAsia="de-DE"/>
              </w:rPr>
              <w:t>&amp;Umwelt eingestellt.</w:t>
            </w:r>
          </w:p>
          <w:p w14:paraId="4CE83F5E" w14:textId="77777777" w:rsidR="00F96F65" w:rsidRPr="00F211E6" w:rsidRDefault="00F96F65" w:rsidP="004C60E7">
            <w:pPr>
              <w:jc w:val="both"/>
              <w:rPr>
                <w:rFonts w:eastAsia="Times New Roman"/>
                <w:szCs w:val="24"/>
                <w:lang w:eastAsia="de-DE"/>
              </w:rPr>
            </w:pPr>
          </w:p>
          <w:p w14:paraId="279E775E" w14:textId="39ADEEEA" w:rsidR="00591077" w:rsidRPr="00F211E6" w:rsidRDefault="00F96F65" w:rsidP="004C60E7">
            <w:pPr>
              <w:jc w:val="both"/>
              <w:rPr>
                <w:rFonts w:eastAsia="Times New Roman"/>
                <w:szCs w:val="24"/>
                <w:lang w:eastAsia="de-DE"/>
              </w:rPr>
            </w:pPr>
            <w:r w:rsidRPr="00F211E6">
              <w:rPr>
                <w:rFonts w:eastAsia="Times New Roman"/>
                <w:szCs w:val="24"/>
                <w:lang w:eastAsia="de-DE"/>
              </w:rPr>
              <w:t xml:space="preserve">Auf die Vorschriften des § 44 Abs. 3 Satz 1 und 2 und Abs. 4 des BauGB über die fristgemäße Geltendmachung etwaiger Entschädigungsansprüche im Falle der in den §§ 39-42 BauGB bezeichneten </w:t>
            </w:r>
          </w:p>
        </w:tc>
        <w:tc>
          <w:tcPr>
            <w:tcW w:w="2106" w:type="dxa"/>
          </w:tcPr>
          <w:p w14:paraId="05561B8E" w14:textId="6BE4D517" w:rsidR="00591077" w:rsidRPr="00F211E6" w:rsidRDefault="00591077" w:rsidP="00F46653">
            <w:pPr>
              <w:jc w:val="both"/>
              <w:rPr>
                <w:rFonts w:eastAsia="Times New Roman"/>
                <w:szCs w:val="24"/>
                <w:lang w:eastAsia="de-DE"/>
              </w:rPr>
            </w:pPr>
            <w:r w:rsidRPr="00F211E6">
              <w:rPr>
                <w:rFonts w:eastAsia="Times New Roman"/>
                <w:szCs w:val="24"/>
                <w:lang w:eastAsia="de-DE"/>
              </w:rPr>
              <w:t xml:space="preserve">    </w:t>
            </w:r>
            <w:r w:rsidR="00F46653">
              <w:rPr>
                <w:rFonts w:eastAsia="Times New Roman"/>
                <w:szCs w:val="24"/>
                <w:lang w:eastAsia="de-DE"/>
              </w:rPr>
              <w:t xml:space="preserve">  </w:t>
            </w:r>
            <w:r w:rsidRPr="00F211E6">
              <w:rPr>
                <w:rFonts w:eastAsia="Times New Roman"/>
                <w:szCs w:val="24"/>
                <w:lang w:eastAsia="de-DE"/>
              </w:rPr>
              <w:t xml:space="preserve">  </w:t>
            </w:r>
            <w:r w:rsidRPr="00F211E6">
              <w:rPr>
                <w:noProof/>
                <w:szCs w:val="24"/>
              </w:rPr>
              <w:drawing>
                <wp:inline distT="0" distB="0" distL="0" distR="0" wp14:anchorId="6636EC34" wp14:editId="167C6E17">
                  <wp:extent cx="1190847" cy="1190847"/>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20627" cy="1220627"/>
                          </a:xfrm>
                          <a:prstGeom prst="rect">
                            <a:avLst/>
                          </a:prstGeom>
                          <a:noFill/>
                          <a:ln>
                            <a:noFill/>
                          </a:ln>
                        </pic:spPr>
                      </pic:pic>
                    </a:graphicData>
                  </a:graphic>
                </wp:inline>
              </w:drawing>
            </w:r>
          </w:p>
        </w:tc>
      </w:tr>
    </w:tbl>
    <w:p w14:paraId="39582B2D" w14:textId="77777777" w:rsidR="00F46653" w:rsidRDefault="00F46653" w:rsidP="004C60E7">
      <w:pPr>
        <w:jc w:val="both"/>
        <w:rPr>
          <w:rFonts w:eastAsia="Times New Roman"/>
          <w:szCs w:val="24"/>
          <w:lang w:eastAsia="de-DE"/>
        </w:rPr>
      </w:pPr>
      <w:r w:rsidRPr="00F211E6">
        <w:rPr>
          <w:rFonts w:eastAsia="Times New Roman"/>
          <w:szCs w:val="24"/>
          <w:lang w:eastAsia="de-DE"/>
        </w:rPr>
        <w:t>Vermögensnachteile durch diese Satzungen und über das Erlöschen von Entschädigungsansprüchen wird hingewiesen.</w:t>
      </w:r>
    </w:p>
    <w:p w14:paraId="0B928F6C" w14:textId="77777777" w:rsidR="00F46653" w:rsidRDefault="00F46653" w:rsidP="004C60E7">
      <w:pPr>
        <w:jc w:val="both"/>
        <w:rPr>
          <w:rFonts w:eastAsia="Times New Roman"/>
          <w:szCs w:val="24"/>
          <w:lang w:eastAsia="de-DE"/>
        </w:rPr>
      </w:pPr>
    </w:p>
    <w:p w14:paraId="382BFE3D" w14:textId="067D2F77" w:rsidR="00F46653" w:rsidRPr="00F211E6" w:rsidRDefault="00F46653" w:rsidP="004C60E7">
      <w:pPr>
        <w:jc w:val="both"/>
        <w:rPr>
          <w:rFonts w:eastAsia="Times New Roman"/>
          <w:szCs w:val="24"/>
          <w:lang w:eastAsia="de-DE"/>
        </w:rPr>
      </w:pPr>
      <w:r w:rsidRPr="00F211E6">
        <w:rPr>
          <w:rFonts w:eastAsia="Times New Roman"/>
          <w:szCs w:val="24"/>
          <w:lang w:eastAsia="de-DE"/>
        </w:rPr>
        <w:t xml:space="preserve">Auf die Voraussetzungen für die Geltendmachung der Verletzung von Verfahrens- und  Formvorschriften und von Mängeln der Abwägung sowie die Rechtsfolgen des in § 215 Abs.1 BauGB wird hingewiesen. </w:t>
      </w:r>
    </w:p>
    <w:p w14:paraId="12A28B41" w14:textId="77777777" w:rsidR="00F46653" w:rsidRDefault="00F46653" w:rsidP="004C60E7">
      <w:pPr>
        <w:rPr>
          <w:rFonts w:eastAsia="Times New Roman"/>
          <w:szCs w:val="24"/>
          <w:lang w:eastAsia="de-DE"/>
        </w:rPr>
      </w:pPr>
    </w:p>
    <w:p w14:paraId="3FC991E6" w14:textId="77777777" w:rsidR="00F46653" w:rsidRDefault="00F46653" w:rsidP="00F46653">
      <w:pPr>
        <w:jc w:val="both"/>
        <w:rPr>
          <w:rFonts w:eastAsia="Times New Roman"/>
          <w:szCs w:val="24"/>
          <w:lang w:eastAsia="de-DE"/>
        </w:rPr>
      </w:pPr>
    </w:p>
    <w:p w14:paraId="62483BBF" w14:textId="27C4B111" w:rsidR="001B7AC7" w:rsidRPr="00F211E6" w:rsidRDefault="001B7AC7" w:rsidP="00F46653">
      <w:pPr>
        <w:jc w:val="both"/>
        <w:rPr>
          <w:rFonts w:eastAsia="Times New Roman"/>
          <w:szCs w:val="24"/>
          <w:lang w:eastAsia="de-DE"/>
        </w:rPr>
      </w:pPr>
      <w:r w:rsidRPr="00F211E6">
        <w:rPr>
          <w:rFonts w:eastAsia="Times New Roman"/>
          <w:szCs w:val="24"/>
          <w:lang w:eastAsia="de-DE"/>
        </w:rPr>
        <w:lastRenderedPageBreak/>
        <w:t xml:space="preserve">Unbeachtlich werden </w:t>
      </w:r>
      <w:r w:rsidR="009D36D7" w:rsidRPr="00F211E6">
        <w:rPr>
          <w:rFonts w:eastAsia="Times New Roman"/>
          <w:szCs w:val="24"/>
          <w:lang w:eastAsia="de-DE"/>
        </w:rPr>
        <w:t>demnach</w:t>
      </w:r>
    </w:p>
    <w:p w14:paraId="0828F7BD" w14:textId="77777777" w:rsidR="001B7AC7" w:rsidRPr="00F211E6" w:rsidRDefault="001B7AC7" w:rsidP="00F46653">
      <w:pPr>
        <w:numPr>
          <w:ilvl w:val="0"/>
          <w:numId w:val="1"/>
        </w:numPr>
        <w:jc w:val="both"/>
        <w:rPr>
          <w:rFonts w:eastAsia="Times New Roman"/>
          <w:szCs w:val="24"/>
          <w:lang w:eastAsia="de-DE"/>
        </w:rPr>
      </w:pPr>
      <w:r w:rsidRPr="00F211E6">
        <w:rPr>
          <w:rFonts w:eastAsia="Times New Roman"/>
          <w:szCs w:val="24"/>
          <w:lang w:eastAsia="de-DE"/>
        </w:rPr>
        <w:t xml:space="preserve">eine nach  § 214 Abs. 1 Satz 1  Nr. 1 bis 3 BauGB beachtliche Verletzung der dort bezeichneten Verfahrens- und Formvorschriften, </w:t>
      </w:r>
    </w:p>
    <w:p w14:paraId="26B4CFF9" w14:textId="77777777" w:rsidR="001B7AC7" w:rsidRPr="00F211E6" w:rsidRDefault="001B7AC7" w:rsidP="00F46653">
      <w:pPr>
        <w:numPr>
          <w:ilvl w:val="0"/>
          <w:numId w:val="1"/>
        </w:numPr>
        <w:jc w:val="both"/>
        <w:rPr>
          <w:rFonts w:eastAsia="Times New Roman"/>
          <w:szCs w:val="24"/>
          <w:lang w:eastAsia="de-DE"/>
        </w:rPr>
      </w:pPr>
      <w:r w:rsidRPr="00F211E6">
        <w:rPr>
          <w:rFonts w:eastAsia="Times New Roman"/>
          <w:szCs w:val="24"/>
          <w:lang w:eastAsia="de-DE"/>
        </w:rPr>
        <w:t>eine unter Berücksichtigung des § 214 Abs. 2 BauGB beachtliche Verletzung der Vorschriften über das Verhältnis des Bebauungsplans</w:t>
      </w:r>
      <w:r w:rsidR="008C2DD0" w:rsidRPr="00F211E6">
        <w:rPr>
          <w:rFonts w:eastAsia="Times New Roman"/>
          <w:szCs w:val="24"/>
          <w:lang w:eastAsia="de-DE"/>
        </w:rPr>
        <w:t xml:space="preserve"> </w:t>
      </w:r>
      <w:r w:rsidRPr="00F211E6">
        <w:rPr>
          <w:rFonts w:eastAsia="Times New Roman"/>
          <w:szCs w:val="24"/>
          <w:lang w:eastAsia="de-DE"/>
        </w:rPr>
        <w:t>und des Flächennutzungsplans und</w:t>
      </w:r>
    </w:p>
    <w:p w14:paraId="019B53C9" w14:textId="77777777" w:rsidR="001B7AC7" w:rsidRPr="00F211E6" w:rsidRDefault="001B7AC7" w:rsidP="00F46653">
      <w:pPr>
        <w:numPr>
          <w:ilvl w:val="0"/>
          <w:numId w:val="1"/>
        </w:numPr>
        <w:jc w:val="both"/>
        <w:rPr>
          <w:rFonts w:eastAsia="Times New Roman"/>
          <w:szCs w:val="24"/>
          <w:lang w:eastAsia="de-DE"/>
        </w:rPr>
      </w:pPr>
      <w:r w:rsidRPr="00F211E6">
        <w:rPr>
          <w:rFonts w:eastAsia="Times New Roman"/>
          <w:szCs w:val="24"/>
          <w:lang w:eastAsia="de-DE"/>
        </w:rPr>
        <w:t xml:space="preserve">nach § 214 Abs. 3 Satz 2 beachtliche Mängel des Abwägungsvorgangs </w:t>
      </w:r>
    </w:p>
    <w:p w14:paraId="3EE9EEB5" w14:textId="77777777" w:rsidR="001B7AC7" w:rsidRPr="00F211E6" w:rsidRDefault="001B7AC7" w:rsidP="00F46653">
      <w:pPr>
        <w:jc w:val="both"/>
        <w:rPr>
          <w:rFonts w:eastAsia="Times New Roman"/>
          <w:szCs w:val="24"/>
          <w:lang w:eastAsia="de-DE"/>
        </w:rPr>
      </w:pPr>
      <w:r w:rsidRPr="00F211E6">
        <w:rPr>
          <w:rFonts w:eastAsia="Times New Roman"/>
          <w:szCs w:val="24"/>
          <w:lang w:eastAsia="de-DE"/>
        </w:rPr>
        <w:t>wenn sie nicht innerhalb eine</w:t>
      </w:r>
      <w:r w:rsidR="00905C70" w:rsidRPr="00F211E6">
        <w:rPr>
          <w:rFonts w:eastAsia="Times New Roman"/>
          <w:szCs w:val="24"/>
          <w:lang w:eastAsia="de-DE"/>
        </w:rPr>
        <w:t xml:space="preserve">s </w:t>
      </w:r>
      <w:r w:rsidRPr="00F211E6">
        <w:rPr>
          <w:rFonts w:eastAsia="Times New Roman"/>
          <w:szCs w:val="24"/>
          <w:lang w:eastAsia="de-DE"/>
        </w:rPr>
        <w:t>Jahr</w:t>
      </w:r>
      <w:r w:rsidR="00905C70" w:rsidRPr="00F211E6">
        <w:rPr>
          <w:rFonts w:eastAsia="Times New Roman"/>
          <w:szCs w:val="24"/>
          <w:lang w:eastAsia="de-DE"/>
        </w:rPr>
        <w:t>es</w:t>
      </w:r>
      <w:r w:rsidRPr="00F211E6">
        <w:rPr>
          <w:rFonts w:eastAsia="Times New Roman"/>
          <w:szCs w:val="24"/>
          <w:lang w:eastAsia="de-DE"/>
        </w:rPr>
        <w:t xml:space="preserve"> seit dieser Bekanntmachung schriftlich gegenüber der Stadt</w:t>
      </w:r>
      <w:r w:rsidR="00905C70" w:rsidRPr="00F211E6">
        <w:rPr>
          <w:rFonts w:eastAsia="Times New Roman"/>
          <w:szCs w:val="24"/>
          <w:lang w:eastAsia="de-DE"/>
        </w:rPr>
        <w:t xml:space="preserve"> Steinheim a.d.Murr </w:t>
      </w:r>
      <w:r w:rsidRPr="00F211E6">
        <w:rPr>
          <w:rFonts w:eastAsia="Times New Roman"/>
          <w:szCs w:val="24"/>
          <w:lang w:eastAsia="de-DE"/>
        </w:rPr>
        <w:t xml:space="preserve"> geltend gemacht worden sind. </w:t>
      </w:r>
    </w:p>
    <w:p w14:paraId="2F77616F" w14:textId="77777777" w:rsidR="001B7AC7" w:rsidRPr="00F211E6" w:rsidRDefault="001B7AC7" w:rsidP="00F46653">
      <w:pPr>
        <w:jc w:val="both"/>
        <w:rPr>
          <w:rFonts w:eastAsia="Times New Roman"/>
          <w:szCs w:val="24"/>
          <w:lang w:eastAsia="de-DE"/>
        </w:rPr>
      </w:pPr>
      <w:r w:rsidRPr="00F211E6">
        <w:rPr>
          <w:rFonts w:eastAsia="Times New Roman"/>
          <w:szCs w:val="24"/>
          <w:lang w:eastAsia="de-DE"/>
        </w:rPr>
        <w:t xml:space="preserve">Der Sachverhalt, der die Verletzung oder den Mangel begründet, ist darzulegen. Dies gilt entsprechend, wenn Fehler nach § 214 Abs. 2a BauGB beachtlich sind. </w:t>
      </w:r>
    </w:p>
    <w:p w14:paraId="11E1AFCD" w14:textId="77777777" w:rsidR="001B7AC7" w:rsidRPr="00F211E6" w:rsidRDefault="001B7AC7" w:rsidP="00F46653">
      <w:pPr>
        <w:jc w:val="both"/>
        <w:rPr>
          <w:rFonts w:eastAsia="Times New Roman"/>
          <w:szCs w:val="24"/>
          <w:lang w:eastAsia="de-DE"/>
        </w:rPr>
      </w:pPr>
    </w:p>
    <w:p w14:paraId="1A220219" w14:textId="77777777" w:rsidR="009D36D7" w:rsidRPr="00F211E6" w:rsidRDefault="001B7AC7" w:rsidP="00F46653">
      <w:pPr>
        <w:jc w:val="both"/>
        <w:rPr>
          <w:rFonts w:eastAsia="Times New Roman"/>
          <w:szCs w:val="24"/>
          <w:lang w:eastAsia="de-DE"/>
        </w:rPr>
      </w:pPr>
      <w:r w:rsidRPr="00F211E6">
        <w:rPr>
          <w:rFonts w:eastAsia="Times New Roman"/>
          <w:szCs w:val="24"/>
          <w:lang w:eastAsia="de-DE"/>
        </w:rPr>
        <w:t xml:space="preserve">Eine etwaige Verletzung von Verfahrens- oder Formvorschriften der Gemeindeordnung (GemO) oder die aufgrund der Gemeindeordnung erlassen wurden, ist nach § 4 Abs. 4 GemO unbeachtlich, wenn sie nicht schriftlich innerhalb eines Jahres seit Bekanntmachung des Bebauungsplans gegenüber der Stadt Steinheim unter Bezeichnung des Sachverhalts, der die Verletzung begründen soll, geltend gemacht worden ist. Dies gilt nicht, wenn </w:t>
      </w:r>
    </w:p>
    <w:p w14:paraId="25B73C85" w14:textId="77777777" w:rsidR="009D36D7" w:rsidRPr="00F211E6" w:rsidRDefault="009D36D7" w:rsidP="00F46653">
      <w:pPr>
        <w:pStyle w:val="Listenabsatz"/>
        <w:numPr>
          <w:ilvl w:val="0"/>
          <w:numId w:val="9"/>
        </w:numPr>
        <w:jc w:val="both"/>
        <w:rPr>
          <w:rFonts w:eastAsia="Times New Roman" w:cs="Arial"/>
          <w:szCs w:val="24"/>
          <w:lang w:eastAsia="de-DE"/>
        </w:rPr>
      </w:pPr>
      <w:r w:rsidRPr="00F211E6">
        <w:rPr>
          <w:rFonts w:eastAsia="Times New Roman" w:cs="Arial"/>
          <w:szCs w:val="24"/>
          <w:lang w:eastAsia="de-DE"/>
        </w:rPr>
        <w:t>die Vorschriften über die Öffentlichkeit der Sitzung, die Genehmigung oder die Bekanntmachung der Satzung verletzt worden sind,</w:t>
      </w:r>
    </w:p>
    <w:p w14:paraId="01998014" w14:textId="77777777" w:rsidR="00E65293" w:rsidRPr="00F211E6" w:rsidRDefault="009D36D7" w:rsidP="00F46653">
      <w:pPr>
        <w:pStyle w:val="Listenabsatz"/>
        <w:numPr>
          <w:ilvl w:val="0"/>
          <w:numId w:val="9"/>
        </w:numPr>
        <w:spacing w:before="100" w:beforeAutospacing="1" w:after="100" w:afterAutospacing="1"/>
        <w:jc w:val="both"/>
        <w:rPr>
          <w:rFonts w:eastAsia="Times New Roman" w:cs="Arial"/>
          <w:szCs w:val="24"/>
          <w:lang w:eastAsia="de-DE"/>
        </w:rPr>
      </w:pPr>
      <w:r w:rsidRPr="00F211E6">
        <w:rPr>
          <w:rFonts w:eastAsia="Times New Roman" w:cs="Arial"/>
          <w:szCs w:val="24"/>
          <w:lang w:eastAsia="de-DE"/>
        </w:rPr>
        <w:t>der Bürgermeister dem Beschluss nach § 43 wegen Gesetzwidrigkeit widersprochen hat oder wenn vor Ablauf der in Satz 1 genannten Frist die Rechtsaufsichtsbehörde den Beschluss beanstandet hat oder die Verletzung der Verfahrens- oder Formvorschrift gegenüber der Gemeinde unter Bezeichnung des Sachverhalts, der die Ver</w:t>
      </w:r>
      <w:r w:rsidRPr="00F211E6">
        <w:rPr>
          <w:szCs w:val="24"/>
          <w:lang w:eastAsia="de-DE"/>
        </w:rPr>
        <w:t>letzung begründen soll, schriftlich oder elektronisch geltend gemacht worden ist.</w:t>
      </w:r>
    </w:p>
    <w:p w14:paraId="78D336DC" w14:textId="77777777" w:rsidR="009D36D7" w:rsidRPr="00F211E6" w:rsidRDefault="00E65293" w:rsidP="00F46653">
      <w:pPr>
        <w:spacing w:before="100" w:beforeAutospacing="1" w:after="100" w:afterAutospacing="1"/>
        <w:jc w:val="both"/>
        <w:rPr>
          <w:rFonts w:eastAsia="Times New Roman" w:cs="Arial"/>
          <w:szCs w:val="24"/>
          <w:lang w:eastAsia="de-DE"/>
        </w:rPr>
      </w:pPr>
      <w:r w:rsidRPr="00F211E6">
        <w:rPr>
          <w:szCs w:val="24"/>
        </w:rPr>
        <w:t>I</w:t>
      </w:r>
      <w:r w:rsidR="009D36D7" w:rsidRPr="00F211E6">
        <w:rPr>
          <w:szCs w:val="24"/>
        </w:rPr>
        <w:t>st eine Verletzung nach Satz 2 Nr. 2 geltend gemacht worden, so kann auch nach Ablauf der in Satz 1 genannten Frist jedermann diese Verletzung geltend machen.</w:t>
      </w:r>
    </w:p>
    <w:p w14:paraId="59EC8D95" w14:textId="77777777" w:rsidR="009F22C9" w:rsidRPr="00F211E6" w:rsidRDefault="009F22C9" w:rsidP="00F46653">
      <w:pPr>
        <w:jc w:val="both"/>
        <w:rPr>
          <w:rFonts w:eastAsia="Times New Roman"/>
          <w:szCs w:val="24"/>
          <w:lang w:eastAsia="de-DE"/>
        </w:rPr>
      </w:pPr>
    </w:p>
    <w:p w14:paraId="630075A7" w14:textId="12B389AE" w:rsidR="009F22C9" w:rsidRPr="00F211E6" w:rsidRDefault="009F22C9" w:rsidP="00F46653">
      <w:pPr>
        <w:jc w:val="both"/>
        <w:rPr>
          <w:rFonts w:eastAsia="Times New Roman"/>
          <w:szCs w:val="24"/>
          <w:lang w:eastAsia="de-DE"/>
        </w:rPr>
      </w:pPr>
      <w:r w:rsidRPr="00F211E6">
        <w:rPr>
          <w:rFonts w:eastAsia="Times New Roman"/>
          <w:szCs w:val="24"/>
          <w:lang w:eastAsia="de-DE"/>
        </w:rPr>
        <w:t xml:space="preserve">Steinheim a.d.Murr, den </w:t>
      </w:r>
      <w:r w:rsidR="00F46653">
        <w:rPr>
          <w:rFonts w:eastAsia="Times New Roman"/>
          <w:szCs w:val="24"/>
          <w:lang w:eastAsia="de-DE"/>
        </w:rPr>
        <w:t>22.04.2021</w:t>
      </w:r>
    </w:p>
    <w:p w14:paraId="23AE706B" w14:textId="77777777" w:rsidR="009F22C9" w:rsidRPr="00F211E6" w:rsidRDefault="009F22C9" w:rsidP="00F46653">
      <w:pPr>
        <w:jc w:val="both"/>
        <w:rPr>
          <w:rFonts w:eastAsia="Times New Roman"/>
          <w:szCs w:val="24"/>
          <w:lang w:eastAsia="de-DE"/>
        </w:rPr>
      </w:pPr>
      <w:r w:rsidRPr="00F211E6">
        <w:rPr>
          <w:rFonts w:eastAsia="Times New Roman"/>
          <w:szCs w:val="24"/>
          <w:lang w:eastAsia="de-DE"/>
        </w:rPr>
        <w:t>Thomas Winterhalter, Bürgermeister</w:t>
      </w:r>
    </w:p>
    <w:p w14:paraId="761B9029" w14:textId="77777777" w:rsidR="001B7AC7" w:rsidRPr="00F211E6" w:rsidRDefault="001B7AC7" w:rsidP="00F46653">
      <w:pPr>
        <w:jc w:val="both"/>
        <w:rPr>
          <w:rFonts w:eastAsia="Times New Roman"/>
          <w:szCs w:val="24"/>
          <w:lang w:eastAsia="de-DE"/>
        </w:rPr>
      </w:pPr>
    </w:p>
    <w:p w14:paraId="1A766630" w14:textId="77777777" w:rsidR="00544B64" w:rsidRPr="00F211E6" w:rsidRDefault="00544B64">
      <w:pPr>
        <w:rPr>
          <w:szCs w:val="24"/>
        </w:rPr>
      </w:pPr>
    </w:p>
    <w:sectPr w:rsidR="00544B64" w:rsidRPr="00F211E6" w:rsidSect="0008228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D56DD" w14:textId="77777777" w:rsidR="00125023" w:rsidRDefault="00125023">
      <w:r>
        <w:separator/>
      </w:r>
    </w:p>
  </w:endnote>
  <w:endnote w:type="continuationSeparator" w:id="0">
    <w:p w14:paraId="4944979A" w14:textId="77777777" w:rsidR="00125023" w:rsidRDefault="00125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3C92F" w14:textId="77777777" w:rsidR="00125023" w:rsidRDefault="00125023">
      <w:r>
        <w:separator/>
      </w:r>
    </w:p>
  </w:footnote>
  <w:footnote w:type="continuationSeparator" w:id="0">
    <w:p w14:paraId="46F9DEA5" w14:textId="77777777" w:rsidR="00125023" w:rsidRDefault="001250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212EE"/>
    <w:multiLevelType w:val="hybridMultilevel"/>
    <w:tmpl w:val="056C630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C30138F"/>
    <w:multiLevelType w:val="hybridMultilevel"/>
    <w:tmpl w:val="FE20C9AA"/>
    <w:lvl w:ilvl="0" w:tplc="B7E68F46">
      <w:numFmt w:val="bullet"/>
      <w:lvlText w:val=""/>
      <w:lvlJc w:val="left"/>
      <w:pPr>
        <w:ind w:left="720" w:hanging="360"/>
      </w:pPr>
      <w:rPr>
        <w:rFonts w:ascii="Wingdings" w:eastAsia="Times New Roman" w:hAnsi="Wingdings"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D00FE6"/>
    <w:multiLevelType w:val="hybridMultilevel"/>
    <w:tmpl w:val="534E4C7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 w15:restartNumberingAfterBreak="0">
    <w:nsid w:val="3E4361C5"/>
    <w:multiLevelType w:val="hybridMultilevel"/>
    <w:tmpl w:val="3738CE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E8117DA"/>
    <w:multiLevelType w:val="hybridMultilevel"/>
    <w:tmpl w:val="537061F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1452861"/>
    <w:multiLevelType w:val="hybridMultilevel"/>
    <w:tmpl w:val="DF9AC51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449C49B1"/>
    <w:multiLevelType w:val="hybridMultilevel"/>
    <w:tmpl w:val="A0F2D7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9A29CC"/>
    <w:multiLevelType w:val="hybridMultilevel"/>
    <w:tmpl w:val="88EC3F62"/>
    <w:lvl w:ilvl="0" w:tplc="A1EEC04A">
      <w:start w:val="8"/>
      <w:numFmt w:val="bullet"/>
      <w:lvlText w:val=""/>
      <w:lvlJc w:val="left"/>
      <w:pPr>
        <w:ind w:left="360" w:hanging="360"/>
      </w:pPr>
      <w:rPr>
        <w:rFonts w:ascii="Wingdings" w:eastAsia="Calibri"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2D159A0"/>
    <w:multiLevelType w:val="hybridMultilevel"/>
    <w:tmpl w:val="1C6CD7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7"/>
  </w:num>
  <w:num w:numId="3">
    <w:abstractNumId w:val="1"/>
  </w:num>
  <w:num w:numId="4">
    <w:abstractNumId w:val="3"/>
  </w:num>
  <w:num w:numId="5">
    <w:abstractNumId w:val="0"/>
  </w:num>
  <w:num w:numId="6">
    <w:abstractNumId w:val="6"/>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AC7"/>
    <w:rsid w:val="000273E4"/>
    <w:rsid w:val="00082288"/>
    <w:rsid w:val="001212E9"/>
    <w:rsid w:val="00125023"/>
    <w:rsid w:val="00133994"/>
    <w:rsid w:val="00185B2B"/>
    <w:rsid w:val="001B7AC7"/>
    <w:rsid w:val="001D0E5D"/>
    <w:rsid w:val="002747F2"/>
    <w:rsid w:val="002A0E1C"/>
    <w:rsid w:val="002C36FC"/>
    <w:rsid w:val="002C6906"/>
    <w:rsid w:val="00335D73"/>
    <w:rsid w:val="003611DE"/>
    <w:rsid w:val="003C0346"/>
    <w:rsid w:val="00465AF4"/>
    <w:rsid w:val="004701B1"/>
    <w:rsid w:val="004C60E7"/>
    <w:rsid w:val="0051426C"/>
    <w:rsid w:val="00544B64"/>
    <w:rsid w:val="0055677D"/>
    <w:rsid w:val="00563ED4"/>
    <w:rsid w:val="00591077"/>
    <w:rsid w:val="005C6D84"/>
    <w:rsid w:val="006B58C2"/>
    <w:rsid w:val="0074416D"/>
    <w:rsid w:val="00756BC2"/>
    <w:rsid w:val="0076224F"/>
    <w:rsid w:val="00806B4D"/>
    <w:rsid w:val="0081486E"/>
    <w:rsid w:val="00817F85"/>
    <w:rsid w:val="00843C1A"/>
    <w:rsid w:val="0089728B"/>
    <w:rsid w:val="008C2DD0"/>
    <w:rsid w:val="008E24EB"/>
    <w:rsid w:val="008F78F9"/>
    <w:rsid w:val="00905C70"/>
    <w:rsid w:val="00965448"/>
    <w:rsid w:val="009828D6"/>
    <w:rsid w:val="009C3FE0"/>
    <w:rsid w:val="009D36D7"/>
    <w:rsid w:val="009F22C9"/>
    <w:rsid w:val="00A93E1E"/>
    <w:rsid w:val="00B24BAB"/>
    <w:rsid w:val="00B93821"/>
    <w:rsid w:val="00BA45DF"/>
    <w:rsid w:val="00BC68F6"/>
    <w:rsid w:val="00BC7FE7"/>
    <w:rsid w:val="00C15A6F"/>
    <w:rsid w:val="00C32850"/>
    <w:rsid w:val="00D2157A"/>
    <w:rsid w:val="00D83F91"/>
    <w:rsid w:val="00DA6A1A"/>
    <w:rsid w:val="00E3725D"/>
    <w:rsid w:val="00E65293"/>
    <w:rsid w:val="00EA611A"/>
    <w:rsid w:val="00F13364"/>
    <w:rsid w:val="00F211E6"/>
    <w:rsid w:val="00F4017A"/>
    <w:rsid w:val="00F46653"/>
    <w:rsid w:val="00F83C2C"/>
    <w:rsid w:val="00F96F65"/>
    <w:rsid w:val="00FA4152"/>
    <w:rsid w:val="00FB5D2E"/>
    <w:rsid w:val="00FF79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6FAB6"/>
  <w15:docId w15:val="{F75CACD4-C308-4C2F-BDBE-5AB757A7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6D84"/>
    <w:rPr>
      <w:rFonts w:ascii="Arial" w:hAnsi="Arial"/>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C6D84"/>
    <w:rPr>
      <w:sz w:val="22"/>
      <w:szCs w:val="22"/>
    </w:rPr>
  </w:style>
  <w:style w:type="paragraph" w:styleId="Listenabsatz">
    <w:name w:val="List Paragraph"/>
    <w:basedOn w:val="Standard"/>
    <w:uiPriority w:val="34"/>
    <w:qFormat/>
    <w:rsid w:val="005C6D84"/>
    <w:pPr>
      <w:ind w:left="720"/>
      <w:contextualSpacing/>
    </w:pPr>
  </w:style>
  <w:style w:type="paragraph" w:styleId="Kopfzeile">
    <w:name w:val="header"/>
    <w:basedOn w:val="Standard"/>
    <w:link w:val="KopfzeileZchn"/>
    <w:uiPriority w:val="99"/>
    <w:unhideWhenUsed/>
    <w:rsid w:val="001B7AC7"/>
    <w:pPr>
      <w:tabs>
        <w:tab w:val="center" w:pos="4536"/>
        <w:tab w:val="right" w:pos="9072"/>
      </w:tabs>
    </w:pPr>
    <w:rPr>
      <w:szCs w:val="20"/>
      <w:lang w:eastAsia="de-DE"/>
    </w:rPr>
  </w:style>
  <w:style w:type="character" w:customStyle="1" w:styleId="KopfzeileZchn">
    <w:name w:val="Kopfzeile Zchn"/>
    <w:basedOn w:val="Absatz-Standardschriftart"/>
    <w:link w:val="Kopfzeile"/>
    <w:uiPriority w:val="99"/>
    <w:rsid w:val="001B7AC7"/>
    <w:rPr>
      <w:rFonts w:ascii="Arial" w:hAnsi="Arial"/>
      <w:sz w:val="24"/>
      <w:lang w:eastAsia="de-DE"/>
    </w:rPr>
  </w:style>
  <w:style w:type="paragraph" w:styleId="Sprechblasentext">
    <w:name w:val="Balloon Text"/>
    <w:basedOn w:val="Standard"/>
    <w:link w:val="SprechblasentextZchn"/>
    <w:uiPriority w:val="99"/>
    <w:semiHidden/>
    <w:unhideWhenUsed/>
    <w:rsid w:val="009828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28D6"/>
    <w:rPr>
      <w:rFonts w:ascii="Tahoma" w:hAnsi="Tahoma" w:cs="Tahoma"/>
      <w:sz w:val="16"/>
      <w:szCs w:val="16"/>
    </w:rPr>
  </w:style>
  <w:style w:type="character" w:styleId="Hyperlink">
    <w:name w:val="Hyperlink"/>
    <w:basedOn w:val="Absatz-Standardschriftart"/>
    <w:uiPriority w:val="99"/>
    <w:unhideWhenUsed/>
    <w:rsid w:val="008C2DD0"/>
    <w:rPr>
      <w:color w:val="0000FF" w:themeColor="hyperlink"/>
      <w:u w:val="single"/>
    </w:rPr>
  </w:style>
  <w:style w:type="paragraph" w:styleId="Fuzeile">
    <w:name w:val="footer"/>
    <w:basedOn w:val="Standard"/>
    <w:link w:val="FuzeileZchn"/>
    <w:uiPriority w:val="99"/>
    <w:unhideWhenUsed/>
    <w:rsid w:val="00082288"/>
    <w:pPr>
      <w:tabs>
        <w:tab w:val="center" w:pos="4536"/>
        <w:tab w:val="right" w:pos="9072"/>
      </w:tabs>
    </w:pPr>
  </w:style>
  <w:style w:type="character" w:customStyle="1" w:styleId="FuzeileZchn">
    <w:name w:val="Fußzeile Zchn"/>
    <w:basedOn w:val="Absatz-Standardschriftart"/>
    <w:link w:val="Fuzeile"/>
    <w:uiPriority w:val="99"/>
    <w:rsid w:val="00082288"/>
    <w:rPr>
      <w:rFonts w:ascii="Arial" w:hAnsi="Arial"/>
      <w:sz w:val="24"/>
      <w:szCs w:val="22"/>
    </w:rPr>
  </w:style>
  <w:style w:type="character" w:styleId="NichtaufgelsteErwhnung">
    <w:name w:val="Unresolved Mention"/>
    <w:basedOn w:val="Absatz-Standardschriftart"/>
    <w:uiPriority w:val="99"/>
    <w:semiHidden/>
    <w:unhideWhenUsed/>
    <w:rsid w:val="0055677D"/>
    <w:rPr>
      <w:color w:val="605E5C"/>
      <w:shd w:val="clear" w:color="auto" w:fill="E1DFDD"/>
    </w:rPr>
  </w:style>
  <w:style w:type="table" w:styleId="Tabellenraster">
    <w:name w:val="Table Grid"/>
    <w:basedOn w:val="NormaleTabelle"/>
    <w:uiPriority w:val="59"/>
    <w:unhideWhenUsed/>
    <w:rsid w:val="0059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3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dt-steinheim.de"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3417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Ciocchetti</dc:creator>
  <cp:lastModifiedBy>Barbara Ciocchetti</cp:lastModifiedBy>
  <cp:revision>4</cp:revision>
  <cp:lastPrinted>2021-04-16T06:16:00Z</cp:lastPrinted>
  <dcterms:created xsi:type="dcterms:W3CDTF">2021-04-16T07:25:00Z</dcterms:created>
  <dcterms:modified xsi:type="dcterms:W3CDTF">2021-04-16T07:33:00Z</dcterms:modified>
</cp:coreProperties>
</file>